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-01-2024</w:t>
      </w:r>
      <w:r>
        <w:rPr>
          <w:rFonts w:ascii="Times New Roman" w:eastAsia="Times New Roman" w:hAnsi="Times New Roman" w:cs="Times New Roman"/>
          <w:sz w:val="26"/>
          <w:szCs w:val="26"/>
        </w:rPr>
        <w:t>-011533-62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Климинского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РФ, проживающего по адресу: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генеральным директором </w:t>
      </w:r>
      <w:r>
        <w:rPr>
          <w:rStyle w:val="cat-UserDefinedgrp-3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находящегося по адресу: </w:t>
      </w:r>
      <w:r>
        <w:rPr>
          <w:rStyle w:val="cat-UserDefinedgrp-4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Климинский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7681-020-152 от 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Климинский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Климинского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Климинского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13675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>с от 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Климинского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Климинского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240140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несвоевременно уплатившие штраф, подлежат ответственности по ч. 1 ст. 20.25 КоАП РФ, санкция данной статьи предусматривает наказание в виде двойного </w:t>
      </w:r>
      <w:r>
        <w:rPr>
          <w:rFonts w:ascii="Times New Roman" w:eastAsia="Times New Roman" w:hAnsi="Times New Roman" w:cs="Times New Roman"/>
          <w:sz w:val="26"/>
          <w:szCs w:val="26"/>
        </w:rPr>
        <w:t>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судьи судебного участка № 12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9001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453-16D6-463B-9628-C0C50DE0C9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